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00" w:type="dxa"/>
        <w:tblCellSpacing w:w="60" w:type="dxa"/>
        <w:tblInd w:w="130" w:type="dxa"/>
        <w:tblBorders>
          <w:top w:val="nil"/>
          <w:left w:val="nil"/>
          <w:bottom w:val="nil"/>
          <w:right w:val="nil"/>
          <w:insideH w:val="nil"/>
          <w:insideV w:val="nil"/>
        </w:tblBorders>
        <w:shd w:val="clear" w:color="auto" w:fill="E7F0F9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4"/>
        <w:gridCol w:w="6746"/>
      </w:tblGrid>
      <w:tr w:rsidR="003B5012" w14:paraId="0B0BE4EB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3B46A1AE" w14:textId="77777777" w:rsidR="003B5012" w:rsidRDefault="00000000">
            <w:pPr>
              <w:spacing w:after="0" w:line="240" w:lineRule="auto"/>
            </w:pPr>
            <w:r>
              <w:rPr>
                <w:b/>
              </w:rPr>
              <w:t>RKP broj</w:t>
            </w:r>
          </w:p>
        </w:tc>
        <w:tc>
          <w:tcPr>
            <w:tcW w:w="0" w:type="auto"/>
            <w:shd w:val="clear" w:color="auto" w:fill="E7F0F9"/>
          </w:tcPr>
          <w:p w14:paraId="1FB5585F" w14:textId="77777777" w:rsidR="003B5012" w:rsidRDefault="00000000">
            <w:pPr>
              <w:spacing w:after="0" w:line="240" w:lineRule="auto"/>
            </w:pPr>
            <w:r>
              <w:t>27476</w:t>
            </w:r>
          </w:p>
        </w:tc>
      </w:tr>
      <w:tr w:rsidR="003B5012" w14:paraId="64F4933A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6259CBE2" w14:textId="77777777" w:rsidR="003B5012" w:rsidRDefault="00000000">
            <w:pPr>
              <w:spacing w:after="0" w:line="240" w:lineRule="auto"/>
            </w:pPr>
            <w:r>
              <w:rPr>
                <w:b/>
              </w:rPr>
              <w:t>Naziv obveznika</w:t>
            </w:r>
          </w:p>
        </w:tc>
        <w:tc>
          <w:tcPr>
            <w:tcW w:w="0" w:type="auto"/>
            <w:shd w:val="clear" w:color="auto" w:fill="E7F0F9"/>
          </w:tcPr>
          <w:p w14:paraId="29EF8601" w14:textId="77777777" w:rsidR="003B5012" w:rsidRDefault="00000000">
            <w:pPr>
              <w:spacing w:after="0" w:line="240" w:lineRule="auto"/>
            </w:pPr>
            <w:r>
              <w:t>PUČKO OTVORENO UČILIŠTE KATARINA ZRINSKA -  OZALJ</w:t>
            </w:r>
          </w:p>
        </w:tc>
      </w:tr>
      <w:tr w:rsidR="003B5012" w14:paraId="5898799E" w14:textId="77777777">
        <w:tblPrEx>
          <w:tblCellMar>
            <w:top w:w="0" w:type="dxa"/>
            <w:bottom w:w="0" w:type="dxa"/>
          </w:tblCellMar>
        </w:tblPrEx>
        <w:trPr>
          <w:tblCellSpacing w:w="60" w:type="dxa"/>
        </w:trPr>
        <w:tc>
          <w:tcPr>
            <w:tcW w:w="1200" w:type="pct"/>
            <w:shd w:val="clear" w:color="auto" w:fill="E7F0F9"/>
          </w:tcPr>
          <w:p w14:paraId="15C1011F" w14:textId="77777777" w:rsidR="003B5012" w:rsidRDefault="00000000">
            <w:pPr>
              <w:spacing w:after="0" w:line="240" w:lineRule="auto"/>
            </w:pPr>
            <w:r>
              <w:rPr>
                <w:b/>
              </w:rPr>
              <w:t>Razina</w:t>
            </w:r>
          </w:p>
        </w:tc>
        <w:tc>
          <w:tcPr>
            <w:tcW w:w="0" w:type="auto"/>
            <w:shd w:val="clear" w:color="auto" w:fill="E7F0F9"/>
          </w:tcPr>
          <w:p w14:paraId="2854CF11" w14:textId="77777777" w:rsidR="003B5012" w:rsidRDefault="00000000">
            <w:pPr>
              <w:spacing w:after="0" w:line="240" w:lineRule="auto"/>
            </w:pPr>
            <w:r>
              <w:t>21</w:t>
            </w:r>
          </w:p>
        </w:tc>
      </w:tr>
    </w:tbl>
    <w:p w14:paraId="6C7E964F" w14:textId="77777777" w:rsidR="003B5012" w:rsidRDefault="00000000">
      <w:r>
        <w:br/>
      </w:r>
    </w:p>
    <w:p w14:paraId="4F5954D3" w14:textId="77777777" w:rsidR="003B5012" w:rsidRDefault="00000000">
      <w:pPr>
        <w:spacing w:line="240" w:lineRule="auto"/>
        <w:jc w:val="center"/>
      </w:pPr>
      <w:r>
        <w:rPr>
          <w:b/>
          <w:sz w:val="28"/>
        </w:rPr>
        <w:t>BILJEŠKE UZ FINANCIJSKE IZVJEŠTAJE</w:t>
      </w:r>
    </w:p>
    <w:p w14:paraId="311813DF" w14:textId="77777777" w:rsidR="003B5012" w:rsidRDefault="00000000">
      <w:pPr>
        <w:spacing w:line="240" w:lineRule="auto"/>
        <w:jc w:val="center"/>
      </w:pPr>
      <w:r>
        <w:rPr>
          <w:b/>
          <w:sz w:val="28"/>
        </w:rPr>
        <w:t>ZA RAZDOBLJE</w:t>
      </w:r>
    </w:p>
    <w:p w14:paraId="03BF171A" w14:textId="77777777" w:rsidR="003B5012" w:rsidRDefault="00000000">
      <w:pPr>
        <w:spacing w:line="240" w:lineRule="auto"/>
        <w:jc w:val="center"/>
      </w:pPr>
      <w:r>
        <w:rPr>
          <w:b/>
          <w:sz w:val="28"/>
        </w:rPr>
        <w:t>I - VI 2026.</w:t>
      </w:r>
    </w:p>
    <w:p w14:paraId="54E5DFB1" w14:textId="77777777" w:rsidR="003B5012" w:rsidRDefault="003B5012"/>
    <w:p w14:paraId="11C35954" w14:textId="77777777" w:rsidR="003B501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prihodima i rashodima, primicima i izdacima</w:t>
      </w:r>
    </w:p>
    <w:p w14:paraId="0E469EB2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1.</w:t>
      </w:r>
    </w:p>
    <w:tbl>
      <w:tblPr>
        <w:tblW w:w="0" w:type="auto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518CE68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42C876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1140B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FED85C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630F09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8AA28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89EE7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65BD4DC5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5757AF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6FB94C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C8836FF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0B282C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28.013,63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507B6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33.017,80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9A766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  <w:tr w:rsidR="003B5012" w14:paraId="7A0AF64B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A5D5E2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AF2B57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POSLOVANJA (šifre 31+32+34+35+36+37+38)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C29981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2BD553E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21.898,69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7C1B0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23.700,15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8254D1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108,2</w:t>
            </w:r>
          </w:p>
        </w:tc>
      </w:tr>
      <w:tr w:rsidR="003B5012" w14:paraId="7B23436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1978905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D703C56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POSLOVANJA (šifre 6-Z005)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C79FEF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64F74D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6.114,94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42D80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9.317,65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65DED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152,4</w:t>
            </w:r>
          </w:p>
        </w:tc>
      </w:tr>
      <w:tr w:rsidR="003B5012" w14:paraId="56E7470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2DCFFE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3526A7B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prodaje nefinancijske imovine (šifre 71+72+73+74)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BCC8C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472E4DC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C2A922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DF55B2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B5012" w14:paraId="121C855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19DE98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214F381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8CE615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0787ABE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9099516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FA96F3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  <w:tr w:rsidR="003B5012" w14:paraId="788C94B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345E2D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30DE30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PRIHODA OD NEFINANCIJSKE IMOVINE (šifre 7-4, 4-7)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6CC498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X002, Y002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62EB2A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382,43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8880030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7C1DB6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</w:t>
            </w:r>
          </w:p>
        </w:tc>
      </w:tr>
      <w:tr w:rsidR="003B5012" w14:paraId="3295435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432739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E8967C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Primici od financijske imovine i zaduživanja (šifre 81+82+83+84+85)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85E59A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6A1AC1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53BB1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E3CEE7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B5012" w14:paraId="616E6AF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45410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2DCEDB5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Izdaci za financijsku imovinu i otplate zajmova (šifre 51+52+53+54+55)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09800C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6201AC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E6EC3D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A01C84F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  <w:tr w:rsidR="003B5012" w14:paraId="656031CF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0A97FD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575B455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VIŠAK/MANJAK PRIMITAKA OD FINANCIJSKE IMOVINE I ZADUŽIVANJA (šifre 8-5, 5-8)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F93D82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X003, Y003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D9122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3998FBF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2C73B9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-</w:t>
            </w:r>
          </w:p>
        </w:tc>
      </w:tr>
      <w:tr w:rsidR="003B5012" w14:paraId="414C5C7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663B57B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A35FD0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VIŠAK PRIHODA I PRIMITAKA (šifre X678-Y345)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43820F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b/>
                <w:sz w:val="18"/>
              </w:rPr>
              <w:t>X005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854E159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5.732,51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B55C981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9.317,65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520403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b/>
                <w:sz w:val="18"/>
              </w:rPr>
              <w:t>162,5</w:t>
            </w:r>
          </w:p>
        </w:tc>
      </w:tr>
    </w:tbl>
    <w:p w14:paraId="29841CF2" w14:textId="77777777" w:rsidR="003B5012" w:rsidRDefault="003B5012">
      <w:pPr>
        <w:spacing w:after="0"/>
      </w:pPr>
    </w:p>
    <w:p w14:paraId="4C572FFA" w14:textId="77777777" w:rsidR="003B5012" w:rsidRDefault="00000000">
      <w:r>
        <w:t>U razdoblju od 1. siječnja do 30. lipnja 2026. godine ostvaren je tekući višak prihoda i primitaka u iznosu od 9.317,65 EUR iz razloga što su ukupni prihodi poslovanja za 9.317,65 EUR veći od rashoda poslovanja. </w:t>
      </w:r>
    </w:p>
    <w:p w14:paraId="47D86F46" w14:textId="77777777" w:rsidR="003B5012" w:rsidRDefault="00000000">
      <w:r>
        <w:br/>
      </w:r>
    </w:p>
    <w:p w14:paraId="5531A805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7165D78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07AE9E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C2C55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1910F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BB6D5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791D5B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0C1444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5812A8C2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0A073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AC2E8F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POSLOVANJA (šifre 61+62+63+64+65+66+67+68)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7164C4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337CD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28.013,63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949CC9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33.017,80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F3B114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117,9</w:t>
            </w:r>
          </w:p>
        </w:tc>
      </w:tr>
    </w:tbl>
    <w:p w14:paraId="5EE0FDC1" w14:textId="77777777" w:rsidR="003B5012" w:rsidRDefault="003B5012">
      <w:pPr>
        <w:spacing w:after="0"/>
      </w:pPr>
    </w:p>
    <w:p w14:paraId="7873C8CD" w14:textId="77777777" w:rsidR="003B5012" w:rsidRDefault="00000000">
      <w:r>
        <w:t>PRIHODI POSLOVANJA (šifra 6) ostvareni su u iznosu većem za 17,9 % u odnosu na isto razdoblje prethodne godine. Povećanje je prvenstveno rezultat primitka tekućih pomoći od Hrvatskog audiovizualnog centra za provedbu programa filmske djelatnosti u okviru Nacionalnog programa promicanja audiovizualnog stvaralaštva u iznosu od 2.400,00 eura, kao i primitka financijskih sredstava Karlovačke županije za sufinanciranje projekta Kazališno ljeto u Ozlju 2026. u iznosu od 6.000,00 eura.</w:t>
      </w:r>
    </w:p>
    <w:p w14:paraId="0CEB4BB3" w14:textId="77777777" w:rsidR="003B5012" w:rsidRDefault="003B5012"/>
    <w:p w14:paraId="39C3C2CE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5C3DDED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6153C3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7B2F819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7E497D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7A12AB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CF120C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841C48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5DE66D4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A61C7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9A5E54F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od pruženih usluga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5AF59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6615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88D9A25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1.200,00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B5F5EEC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665,00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C969A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55,4</w:t>
            </w:r>
          </w:p>
        </w:tc>
      </w:tr>
    </w:tbl>
    <w:p w14:paraId="6BFA24B0" w14:textId="77777777" w:rsidR="003B5012" w:rsidRDefault="003B5012">
      <w:pPr>
        <w:spacing w:after="0"/>
      </w:pPr>
    </w:p>
    <w:p w14:paraId="765E581D" w14:textId="77777777" w:rsidR="003B5012" w:rsidRDefault="00000000">
      <w:r>
        <w:t>Prihodi od pruženih usluga (šifra 6615) manji su za 44,6 % u odnosu na isto razdoblje prethodne godine. Smanjenje je posljedica manjeg broja polaznika tečajeva i radionica tijekom izvještajnog razdoblja, što je rezultiralo nižim prihodima od pruženih usluga.</w:t>
      </w:r>
    </w:p>
    <w:p w14:paraId="1C674B32" w14:textId="77777777" w:rsidR="003B5012" w:rsidRDefault="003B5012"/>
    <w:p w14:paraId="41BC7DFA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36012A7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39BE3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43B22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1752F9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D6E036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647BF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F39DF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6AF6A023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5C7B1C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8FC4496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Tekuće donacije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DFFCCB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6631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BF1CA7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1.000,00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F1257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1.300,00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368E1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130,0</w:t>
            </w:r>
          </w:p>
        </w:tc>
      </w:tr>
    </w:tbl>
    <w:p w14:paraId="126A4226" w14:textId="77777777" w:rsidR="003B5012" w:rsidRDefault="003B5012">
      <w:pPr>
        <w:spacing w:after="0"/>
      </w:pPr>
    </w:p>
    <w:p w14:paraId="117860C8" w14:textId="77777777" w:rsidR="003B5012" w:rsidRDefault="00000000">
      <w:r>
        <w:t>U ovom izvještajnom razdoblju zaprimljene su dvije donacije od trgovačkih društava u svrhu produkcije prve ozaljske predstave u organizaciji Pučkog otvorenog učilišta čija će se premijera održati u sklopu Kazališnog ljeta u Ozlju.</w:t>
      </w:r>
    </w:p>
    <w:p w14:paraId="52259C3E" w14:textId="77777777" w:rsidR="003B5012" w:rsidRDefault="003B5012"/>
    <w:p w14:paraId="07E7CA39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11BB946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459C0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0E3D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2B244C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C05D95E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70B8C5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A6D64A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74E037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4398B5C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EA434FF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Prihodi iz nadležnog proračuna za financiranje rashoda poslovanja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C91D5A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6711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1BF5326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19.836,03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3E59199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22.652,80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90F8EA5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114,2</w:t>
            </w:r>
          </w:p>
        </w:tc>
      </w:tr>
    </w:tbl>
    <w:p w14:paraId="58C65746" w14:textId="77777777" w:rsidR="003B5012" w:rsidRDefault="003B5012">
      <w:pPr>
        <w:spacing w:after="0"/>
      </w:pPr>
    </w:p>
    <w:p w14:paraId="4C0EF291" w14:textId="77777777" w:rsidR="003B5012" w:rsidRDefault="00000000">
      <w:r>
        <w:lastRenderedPageBreak/>
        <w:t>Prihodi iz nadležnog proračuna za financiranje rashoda poslovanja (račun 6711) su uvećani za 14% uslijed uvećanih potreba korisnika u smislu povećanih rashoda za zaposlene te materijalnih rashoda poslovanja koji su financirani iz općih prihoda i primitaka.</w:t>
      </w:r>
    </w:p>
    <w:p w14:paraId="747C9238" w14:textId="77777777" w:rsidR="003B5012" w:rsidRDefault="003B5012"/>
    <w:p w14:paraId="6A025D9C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3737C693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7CE1FD5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9A8196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0E2606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79911C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64CE32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EB23F6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1387B280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1C9B74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289E87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zaposlene (šifre 311+312+313)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FA8728D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C3F6A15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19.491,76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7D57FD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20.718,07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4956D1D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106,3</w:t>
            </w:r>
          </w:p>
        </w:tc>
      </w:tr>
    </w:tbl>
    <w:p w14:paraId="57D79E7B" w14:textId="77777777" w:rsidR="003B5012" w:rsidRDefault="003B5012">
      <w:pPr>
        <w:spacing w:after="0"/>
      </w:pPr>
    </w:p>
    <w:p w14:paraId="05E7C78D" w14:textId="77777777" w:rsidR="003B5012" w:rsidRDefault="00000000">
      <w:r>
        <w:t>Na povećanje rashoda za zaposlene (šifra 31) od 6,0 % u odnosu na isto razdoblje prethodne godine utjecalo je povećanje osnovice za obračun plaće, u primjeni od isplate plaće za travanj, kao i isplata naknade za smrtni slučaj evidentirane na računu 312.</w:t>
      </w:r>
    </w:p>
    <w:p w14:paraId="27DF3129" w14:textId="77777777" w:rsidR="003B5012" w:rsidRDefault="003B5012"/>
    <w:p w14:paraId="386DA991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22E4E2F8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20EF7F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4AB15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239D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5F0A6E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C4074B6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FCA672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1660CB6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1E411B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6588A09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Doprinosi na plaće (šifre 3131 do 3133)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5851459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313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D6A783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2.608,38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892C6AD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2.697,08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1DC958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103,4</w:t>
            </w:r>
          </w:p>
        </w:tc>
      </w:tr>
    </w:tbl>
    <w:p w14:paraId="1A68488C" w14:textId="77777777" w:rsidR="003B5012" w:rsidRDefault="003B5012">
      <w:pPr>
        <w:spacing w:after="0"/>
      </w:pPr>
    </w:p>
    <w:p w14:paraId="2DB3EEB0" w14:textId="77777777" w:rsidR="003B5012" w:rsidRDefault="00000000">
      <w:r>
        <w:t>Povećanje osnovice za obračun plaće odrazilo se i na povećanje rashoda za doprinose na plaće (račun 313).</w:t>
      </w:r>
    </w:p>
    <w:p w14:paraId="6AD8A8E1" w14:textId="77777777" w:rsidR="003B5012" w:rsidRDefault="003B5012"/>
    <w:p w14:paraId="14D3C2DE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8.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5E9A035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AE76D55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B5A0F93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9144F0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27693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1FD8335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59F62B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63D7B7D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57F98D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B1767B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Materijalni rashodi (šifre 321+322+323+324+325+329)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BF1C73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35757C7A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2.406,93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7351DF9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2.982,08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BCBC880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123,9</w:t>
            </w:r>
          </w:p>
        </w:tc>
      </w:tr>
    </w:tbl>
    <w:p w14:paraId="65B43E58" w14:textId="77777777" w:rsidR="003B5012" w:rsidRDefault="003B5012">
      <w:pPr>
        <w:spacing w:after="0"/>
      </w:pPr>
    </w:p>
    <w:p w14:paraId="4EC89940" w14:textId="77777777" w:rsidR="003B5012" w:rsidRDefault="00000000">
      <w:r>
        <w:t>Materijalni rashodi (šifra 32) povećani su za 23,9 % u odnosu na isto razdoblje prethodne godine. Najveći utjecaj na povećanje imali su rashodi za usluge (račun 323), ponajprije zbog većih rashoda za računalne usluge (račun 3238), intelektualne i osobne usluge (račun 3237) te usluge promidžbe i informiranja (račun 3233). Istodobno su rashodi za naknade troškova zaposlenima (račun 321) manji u odnosu na isto razdoblje prethodne godine jer tijekom izvještajnog razdoblja nije bilo službenih putovanja ni stručnog usavršavanja zaposlenika.</w:t>
      </w:r>
    </w:p>
    <w:p w14:paraId="00ABF995" w14:textId="77777777" w:rsidR="003B5012" w:rsidRDefault="003B5012"/>
    <w:p w14:paraId="609267A0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9.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5425A3F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9E3C3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780BA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863D638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91DDFE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A24B98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DED501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32F72999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0F59D9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EF6B8F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Usluge promidžbe i informiranja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A23B5F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708F92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4B5C5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201,00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C22ED52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F039F02" w14:textId="77777777" w:rsidR="003B5012" w:rsidRDefault="003B5012">
      <w:pPr>
        <w:spacing w:after="0"/>
      </w:pPr>
    </w:p>
    <w:p w14:paraId="58F7F40E" w14:textId="77777777" w:rsidR="003B5012" w:rsidRDefault="00000000">
      <w:r>
        <w:t>Usluge promidžbe i informiranja obuhvaćaju izradu plakata za Kazališno ljeto u Ozlju.</w:t>
      </w:r>
    </w:p>
    <w:p w14:paraId="3B5A9F3E" w14:textId="77777777" w:rsidR="003B5012" w:rsidRDefault="003B5012"/>
    <w:p w14:paraId="1E9BE56B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10.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5B5194CB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DBCEFD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4491CB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3E0432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7CBD0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6CA69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408C4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427F143E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3C6214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42F6E84C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Intelektualne i osobne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53A871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15D9B9C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502,80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7F2754C2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843,22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EB934F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167,7</w:t>
            </w:r>
          </w:p>
        </w:tc>
      </w:tr>
    </w:tbl>
    <w:p w14:paraId="2038607F" w14:textId="77777777" w:rsidR="003B5012" w:rsidRDefault="003B5012">
      <w:pPr>
        <w:spacing w:after="0"/>
      </w:pPr>
    </w:p>
    <w:p w14:paraId="2DDAB70A" w14:textId="77777777" w:rsidR="003B5012" w:rsidRDefault="00000000">
      <w:r>
        <w:t xml:space="preserve">Rashodi za intelektualne i osobne usluge odnose se na ugovore o djelu sklopljene za održavanje likovne igraonice, održavanje stručnog predavanja na temu razvoja prvog hrvatskog satelita </w:t>
      </w:r>
      <w:proofErr w:type="spellStart"/>
      <w:r>
        <w:t>CroCube</w:t>
      </w:r>
      <w:proofErr w:type="spellEnd"/>
      <w:r>
        <w:t xml:space="preserve"> te provedbu radionice izrade </w:t>
      </w:r>
      <w:proofErr w:type="spellStart"/>
      <w:r>
        <w:t>kokedame</w:t>
      </w:r>
      <w:proofErr w:type="spellEnd"/>
      <w:r>
        <w:t>.</w:t>
      </w:r>
    </w:p>
    <w:p w14:paraId="3AACB860" w14:textId="77777777" w:rsidR="003B5012" w:rsidRDefault="003B5012"/>
    <w:p w14:paraId="0F2A0821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11.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6B454839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A8697E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87D6DE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EEEF91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0D7831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6CD9E3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93B840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20BE96B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BF0B5A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3C76C18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Računalne usluge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2EB58C5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3238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9B959A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151,84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6B13E9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1.080,50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8BA5E3F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711,6</w:t>
            </w:r>
          </w:p>
        </w:tc>
      </w:tr>
    </w:tbl>
    <w:p w14:paraId="4AA8BFD3" w14:textId="77777777" w:rsidR="003B5012" w:rsidRDefault="003B5012">
      <w:pPr>
        <w:spacing w:after="0"/>
      </w:pPr>
    </w:p>
    <w:p w14:paraId="46D3D738" w14:textId="77777777" w:rsidR="003B5012" w:rsidRDefault="00000000">
      <w:r>
        <w:t>Povećanje rashoda za računalne usluge (3238) u promatranom razdoblju posljedica je usklađenja s novim zakonskim obvezama vezanim uz fiskalizaciju, što je zahtijevalo nadogradnju i prilagodbu postojećih informatičkih sustava. </w:t>
      </w:r>
    </w:p>
    <w:p w14:paraId="47F469D1" w14:textId="77777777" w:rsidR="003B5012" w:rsidRDefault="003B5012"/>
    <w:p w14:paraId="068C550A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12.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2CDCCA1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0A7198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8A3E89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38DCAF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B10EB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08F902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E98F43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1C8D49B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D421A2B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5BF2AB7A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Reprezentacija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7A94895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3293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045226C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312,89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EA5EE3D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70,00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EB18D7A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22,4</w:t>
            </w:r>
          </w:p>
        </w:tc>
      </w:tr>
    </w:tbl>
    <w:p w14:paraId="735143B2" w14:textId="77777777" w:rsidR="003B5012" w:rsidRDefault="003B5012">
      <w:pPr>
        <w:spacing w:after="0"/>
      </w:pPr>
    </w:p>
    <w:p w14:paraId="0F9F048B" w14:textId="77777777" w:rsidR="003B5012" w:rsidRDefault="00000000">
      <w:r>
        <w:t>Rashodi za reprezentaciju (račun 3293) manji su za 77,6 % u odnosu na isto razdoblje prethodne godine zbog manjeg opsega aktivnosti koje su iziskivale troškove reprezentacije tijekom izvještajnog razdoblja.</w:t>
      </w:r>
    </w:p>
    <w:p w14:paraId="627E0C28" w14:textId="77777777" w:rsidR="003B5012" w:rsidRDefault="003B5012"/>
    <w:p w14:paraId="18A53532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13.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7AD3385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F690C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21C5B43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4E5EBB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38F8A51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4BA14E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1C1973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3351883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1425BBF4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06A82F60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Obračunati prihodi poslovanja - nenaplaćeni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D2E1E0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96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6D4326E5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1.529,40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438011F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2.100,00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338FEBB0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137,3</w:t>
            </w:r>
          </w:p>
        </w:tc>
      </w:tr>
    </w:tbl>
    <w:p w14:paraId="59E3988B" w14:textId="77777777" w:rsidR="003B5012" w:rsidRDefault="003B5012">
      <w:pPr>
        <w:spacing w:after="0"/>
      </w:pPr>
    </w:p>
    <w:p w14:paraId="0B600249" w14:textId="77777777" w:rsidR="003B5012" w:rsidRDefault="00000000">
      <w:r>
        <w:t>Obračunati prihodi poslovanja – nenaplaćeni (šifra 96) povećani su za 37,3 % u odnosu na isto razdoblje prethodne godine. Odnose se na obračunate, a nenaplaćene prihode temeljem ugovora o sufinanciranju projekta Kazališno ljeto u Ozlju, koji sufinancira Karlovačka županija, te programa filmske djelatnosti Ozbiljno dobri filmovi, koji sufinancira Hrvatski audiovizualni centar. Sukladno odredbama ugovora, završnih 20 % odobrenih sredstava isplaćuje se nakon završetka provedbe projekta i dostave završnog izvješća, zbog čega su navedeni prihodi na datum izvještavanja evidentirani kao obračunati, a nenaplaćeni.</w:t>
      </w:r>
    </w:p>
    <w:p w14:paraId="7D4472AC" w14:textId="77777777" w:rsidR="003B5012" w:rsidRDefault="003B5012"/>
    <w:p w14:paraId="45F02D9D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14.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2E514A4E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A12C71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D6B8149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04BAA82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1D900A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CFB3F8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DC088E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0652C658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9C6F3E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2F64A6B8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Rashodi za nabavu nefinancijske imovine (šifre 41+42+43+44+45)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35CAACC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4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51138AA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382,43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0B7A275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FE02E07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</w:t>
            </w:r>
          </w:p>
        </w:tc>
      </w:tr>
    </w:tbl>
    <w:p w14:paraId="308FE4ED" w14:textId="77777777" w:rsidR="003B5012" w:rsidRDefault="003B5012">
      <w:pPr>
        <w:spacing w:after="0"/>
      </w:pPr>
    </w:p>
    <w:p w14:paraId="1B4E3277" w14:textId="77777777" w:rsidR="003B5012" w:rsidRDefault="00000000">
      <w:r>
        <w:t>Rashodi za nabavu nefinancijske imovine (šifra 4) nisu ostvareni zbog izostanka nabave dugotrajne nefinancijske imovine u izvještajnom razdoblju.</w:t>
      </w:r>
    </w:p>
    <w:p w14:paraId="21F2B4F5" w14:textId="77777777" w:rsidR="003B5012" w:rsidRDefault="003B5012"/>
    <w:p w14:paraId="7714D78B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15.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20D9BC4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59DE6B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45A8874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D5B247B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5C937386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FC3CAC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547DC43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28092F87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5C17A8C8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2B2F014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Višak prihoda i primitaka raspoloživ u sljedećem razdoblju (šifre X005 + '9221-9222' - Y005 - '9222-9221')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5B0E68F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X006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1E89FE1A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4.882,31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EE5F28E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5.963,40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696F386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122,1</w:t>
            </w:r>
          </w:p>
        </w:tc>
      </w:tr>
    </w:tbl>
    <w:p w14:paraId="03710B57" w14:textId="77777777" w:rsidR="003B5012" w:rsidRDefault="003B5012">
      <w:pPr>
        <w:spacing w:after="0"/>
      </w:pPr>
    </w:p>
    <w:p w14:paraId="22CCAC0C" w14:textId="77777777" w:rsidR="003B5012" w:rsidRDefault="00000000">
      <w:r>
        <w:t>U razdoblju od 1. siječnja do 30. lipnja 2026. godine ostvaren je tekući višak prihoda i primitaka u iznosu od 9.317,65 EUR. Nakon umanjenja za preneseni manjak prihoda poslovanja iz prethodnog razdoblja u iznosu od 3.355,91 EUR koji je korigiran za višak prihoda poslovanja – ispravci iz prethodnih razdoblja u iznosu 1,66 EUR , ostvareni višak prihoda i primitaka iznosi 5.963,40 EUR.</w:t>
      </w:r>
    </w:p>
    <w:p w14:paraId="20F11EFB" w14:textId="77777777" w:rsidR="003B5012" w:rsidRDefault="003B5012"/>
    <w:p w14:paraId="5D3E35C2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lastRenderedPageBreak/>
        <w:t>Bilješka 16.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00"/>
        <w:gridCol w:w="3180"/>
        <w:gridCol w:w="700"/>
        <w:gridCol w:w="1860"/>
        <w:gridCol w:w="1860"/>
        <w:gridCol w:w="700"/>
      </w:tblGrid>
      <w:tr w:rsidR="003B5012" w14:paraId="13B274F0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6A1449F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3D245E0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4CF9278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A32D53D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prethodne godine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0B2B8897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Ostvareno u izvještajnom razdoblju tekuće godine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2023AD0C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293E1F54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403CCAEB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</w:t>
            </w: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774167E5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novčanih sredstava na kraju izvještajnog razdoblja (šifre 11P + '11-dugov.' - '11-potraž.')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33BA3D2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11K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42086ADB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57F83CE8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694578F4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4F44A890" w14:textId="77777777" w:rsidR="003B5012" w:rsidRDefault="003B5012">
      <w:pPr>
        <w:spacing w:after="0"/>
      </w:pPr>
    </w:p>
    <w:p w14:paraId="18038E5B" w14:textId="77777777" w:rsidR="003B5012" w:rsidRDefault="00000000">
      <w:r>
        <w:t>Ukupni priljevi na novčane račune i blagajne (šifra 11 – dugovna) i ukupni odljevi s novčanih računa i blagajni (šifra 11 – potražna) nisu ostvareni u izvještajnom razdoblju zbog prestanka vođenja blagajničkog poslovanja. Sve novčane transakcije provode se putem transakcijskog računa.</w:t>
      </w:r>
    </w:p>
    <w:p w14:paraId="5B78FE11" w14:textId="77777777" w:rsidR="003B5012" w:rsidRDefault="003B5012"/>
    <w:p w14:paraId="4BB7B72E" w14:textId="77777777" w:rsidR="003B5012" w:rsidRDefault="00000000">
      <w:pPr>
        <w:keepNext/>
        <w:spacing w:line="240" w:lineRule="auto"/>
        <w:jc w:val="center"/>
      </w:pPr>
      <w:r>
        <w:rPr>
          <w:b/>
          <w:sz w:val="28"/>
        </w:rPr>
        <w:t>Izvještaj o obvezama</w:t>
      </w:r>
    </w:p>
    <w:p w14:paraId="61FB33DB" w14:textId="77777777" w:rsidR="003B5012" w:rsidRDefault="00000000">
      <w:pPr>
        <w:keepNext/>
        <w:spacing w:line="240" w:lineRule="auto"/>
        <w:jc w:val="center"/>
      </w:pPr>
      <w:r>
        <w:rPr>
          <w:sz w:val="28"/>
        </w:rPr>
        <w:t>Bilješka 17.</w:t>
      </w:r>
    </w:p>
    <w:tbl>
      <w:tblPr>
        <w:tblW w:w="9000" w:type="dxa"/>
        <w:tblInd w:w="40" w:type="dxa"/>
        <w:tblBorders>
          <w:top w:val="single" w:sz="12" w:space="0" w:color="BABABA"/>
          <w:left w:val="single" w:sz="12" w:space="0" w:color="BABABA"/>
          <w:bottom w:val="single" w:sz="12" w:space="0" w:color="BABABA"/>
          <w:right w:val="single" w:sz="12" w:space="0" w:color="BABABA"/>
          <w:insideH w:val="single" w:sz="8" w:space="0" w:color="BABABA"/>
          <w:insideV w:val="single" w:sz="8" w:space="0" w:color="DADADA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83"/>
        <w:gridCol w:w="4008"/>
        <w:gridCol w:w="882"/>
        <w:gridCol w:w="2345"/>
        <w:gridCol w:w="882"/>
      </w:tblGrid>
      <w:tr w:rsidR="003B5012" w14:paraId="17827B8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7D0131B8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 xml:space="preserve">Račun iz </w:t>
            </w:r>
            <w:proofErr w:type="spellStart"/>
            <w:r>
              <w:rPr>
                <w:b/>
                <w:sz w:val="18"/>
              </w:rPr>
              <w:t>rač</w:t>
            </w:r>
            <w:proofErr w:type="spellEnd"/>
            <w:r>
              <w:rPr>
                <w:b/>
                <w:sz w:val="18"/>
              </w:rPr>
              <w:t>. plana</w:t>
            </w:r>
          </w:p>
        </w:tc>
        <w:tc>
          <w:tcPr>
            <w:tcW w:w="318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31DD65E4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Opis stavke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159AB406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Šifra</w:t>
            </w:r>
          </w:p>
        </w:tc>
        <w:tc>
          <w:tcPr>
            <w:tcW w:w="186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AF8F5A3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Iznos</w:t>
            </w:r>
          </w:p>
        </w:tc>
        <w:tc>
          <w:tcPr>
            <w:tcW w:w="700" w:type="dxa"/>
            <w:shd w:val="clear" w:color="auto" w:fill="E7F0F9"/>
            <w:tcMar>
              <w:top w:w="0" w:type="dxa"/>
              <w:bottom w:w="0" w:type="dxa"/>
            </w:tcMar>
            <w:vAlign w:val="center"/>
          </w:tcPr>
          <w:p w14:paraId="6BF4558A" w14:textId="77777777" w:rsidR="003B5012" w:rsidRDefault="00000000">
            <w:pPr>
              <w:keepNext/>
              <w:keepLines/>
              <w:spacing w:after="0" w:line="240" w:lineRule="auto"/>
              <w:jc w:val="center"/>
            </w:pPr>
            <w:r>
              <w:rPr>
                <w:b/>
                <w:sz w:val="18"/>
              </w:rPr>
              <w:t>Indeks (%)</w:t>
            </w:r>
          </w:p>
        </w:tc>
      </w:tr>
      <w:tr w:rsidR="003B5012" w14:paraId="66B701C6" w14:textId="77777777">
        <w:tblPrEx>
          <w:tblCellMar>
            <w:top w:w="0" w:type="dxa"/>
            <w:bottom w:w="0" w:type="dxa"/>
          </w:tblCellMar>
        </w:tblPrEx>
        <w:trPr>
          <w:cantSplit/>
          <w:trHeight w:val="560"/>
        </w:trPr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03CACA23" w14:textId="77777777" w:rsidR="003B5012" w:rsidRDefault="003B5012">
            <w:pPr>
              <w:keepNext/>
              <w:keepLines/>
              <w:spacing w:after="0" w:line="240" w:lineRule="auto"/>
            </w:pPr>
          </w:p>
        </w:tc>
        <w:tc>
          <w:tcPr>
            <w:tcW w:w="3180" w:type="dxa"/>
            <w:tcMar>
              <w:top w:w="0" w:type="dxa"/>
              <w:bottom w:w="0" w:type="dxa"/>
            </w:tcMar>
            <w:vAlign w:val="center"/>
          </w:tcPr>
          <w:p w14:paraId="15B9422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Stanje dospjelih obveza na kraju izvještajnog razdoblja (šifre V008+D23+D24 + 'D dio 25,26' + D27)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7F2AECA3" w14:textId="77777777" w:rsidR="003B5012" w:rsidRDefault="00000000">
            <w:pPr>
              <w:keepNext/>
              <w:keepLines/>
              <w:spacing w:after="0" w:line="240" w:lineRule="auto"/>
            </w:pPr>
            <w:r>
              <w:rPr>
                <w:sz w:val="18"/>
              </w:rPr>
              <w:t>V007</w:t>
            </w:r>
          </w:p>
        </w:tc>
        <w:tc>
          <w:tcPr>
            <w:tcW w:w="1860" w:type="dxa"/>
            <w:tcMar>
              <w:top w:w="0" w:type="dxa"/>
              <w:bottom w:w="0" w:type="dxa"/>
            </w:tcMar>
            <w:vAlign w:val="center"/>
          </w:tcPr>
          <w:p w14:paraId="2CC524B3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0,00</w:t>
            </w:r>
          </w:p>
        </w:tc>
        <w:tc>
          <w:tcPr>
            <w:tcW w:w="700" w:type="dxa"/>
            <w:tcMar>
              <w:top w:w="0" w:type="dxa"/>
              <w:bottom w:w="0" w:type="dxa"/>
            </w:tcMar>
            <w:vAlign w:val="center"/>
          </w:tcPr>
          <w:p w14:paraId="221DA7B1" w14:textId="77777777" w:rsidR="003B5012" w:rsidRDefault="00000000">
            <w:pPr>
              <w:keepNext/>
              <w:keepLines/>
              <w:spacing w:after="0" w:line="240" w:lineRule="auto"/>
              <w:jc w:val="right"/>
            </w:pPr>
            <w:r>
              <w:rPr>
                <w:sz w:val="18"/>
              </w:rPr>
              <w:t>-</w:t>
            </w:r>
          </w:p>
        </w:tc>
      </w:tr>
    </w:tbl>
    <w:p w14:paraId="15CBE5EB" w14:textId="77777777" w:rsidR="003B5012" w:rsidRDefault="003B5012">
      <w:pPr>
        <w:spacing w:after="0"/>
      </w:pPr>
    </w:p>
    <w:p w14:paraId="4A402BCE" w14:textId="77777777" w:rsidR="003B5012" w:rsidRDefault="00000000">
      <w:r>
        <w:t>Na kraju izvještajnog razdoblja sve obveze su nedospjele. Obveze se odnose na:</w:t>
      </w:r>
    </w:p>
    <w:p w14:paraId="1ADD69F6" w14:textId="77777777" w:rsidR="003B5012" w:rsidRDefault="00000000">
      <w:r>
        <w:t>obvezu za plaću za lipanj 2026., koja dospijeva za isplatu u srpnju 2026., u iznosu od 3.297,41 EUR,</w:t>
      </w:r>
      <w:r>
        <w:br/>
        <w:t>obvezu za regres za godišnji odmor, koji se isplaćuje u srpnju 2026., u iznosu od 350,00 EUR,</w:t>
      </w:r>
      <w:r>
        <w:br/>
        <w:t>obvezu po ugovoru o djelu, koja dospijeva za isplatu u srpnju 2026, u iznosu od 174,78 EUR,</w:t>
      </w:r>
      <w:r>
        <w:br/>
        <w:t>obvezu prema Financijskoj agenciji po računu s datumom dospijeća 2. srpnja 2026, u iznosu od 1,66 EUR.</w:t>
      </w:r>
    </w:p>
    <w:p w14:paraId="3B36B9F7" w14:textId="77777777" w:rsidR="003B5012" w:rsidRDefault="00000000">
      <w:r>
        <w:br/>
        <w:t>Ukupne obveze na dan izvještavanja iznose 3.823,85 EUR, pri čemu nijedna obveza nije dospjela na naplatu.</w:t>
      </w:r>
    </w:p>
    <w:p w14:paraId="3D890A07" w14:textId="77777777" w:rsidR="003B5012" w:rsidRDefault="00000000">
      <w:r>
        <w:t> </w:t>
      </w:r>
    </w:p>
    <w:p w14:paraId="4D528B74" w14:textId="77777777" w:rsidR="003B5012" w:rsidRDefault="003B5012"/>
    <w:sectPr w:rsidR="003B50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012"/>
    <w:rsid w:val="003B5012"/>
    <w:rsid w:val="006240D0"/>
    <w:rsid w:val="00DC08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D5293"/>
  <w15:docId w15:val="{3FB61225-43C7-4BED-A068-C39A85DB3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hr-HR" w:eastAsia="hr-HR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1516</Words>
  <Characters>8642</Characters>
  <Application>Microsoft Office Word</Application>
  <DocSecurity>0</DocSecurity>
  <Lines>72</Lines>
  <Paragraphs>20</Paragraphs>
  <ScaleCrop>false</ScaleCrop>
  <Company/>
  <LinksUpToDate>false</LinksUpToDate>
  <CharactersWithSpaces>10138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Grad Ozalj</dc:creator>
  <cp:lastModifiedBy>Grad Ozalj</cp:lastModifiedBy>
  <cp:revision>2</cp:revision>
  <cp:lastPrinted>2026-07-14T09:48:00Z</cp:lastPrinted>
  <dcterms:created xsi:type="dcterms:W3CDTF">2026-07-14T09:49:00Z</dcterms:created>
  <dcterms:modified xsi:type="dcterms:W3CDTF">2026-07-14T09:49:00Z</dcterms:modified>
</cp:coreProperties>
</file>